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A5CAF" w:rsidRDefault="00424A5A">
      <w:pPr>
        <w:rPr>
          <w:rFonts w:ascii="Tahoma" w:hAnsi="Tahoma" w:cs="Tahoma"/>
          <w:sz w:val="20"/>
          <w:szCs w:val="20"/>
        </w:rPr>
      </w:pPr>
    </w:p>
    <w:p w:rsidR="00424A5A" w:rsidRPr="005A5CAF" w:rsidRDefault="00424A5A">
      <w:pPr>
        <w:rPr>
          <w:rFonts w:ascii="Tahoma" w:hAnsi="Tahoma" w:cs="Tahoma"/>
          <w:sz w:val="20"/>
          <w:szCs w:val="20"/>
        </w:rPr>
      </w:pPr>
    </w:p>
    <w:p w:rsidR="00424A5A" w:rsidRPr="005A5CAF" w:rsidRDefault="00424A5A" w:rsidP="00424A5A">
      <w:pPr>
        <w:rPr>
          <w:rFonts w:ascii="Tahoma" w:hAnsi="Tahoma" w:cs="Tahoma"/>
          <w:sz w:val="20"/>
          <w:szCs w:val="20"/>
        </w:rPr>
      </w:pPr>
    </w:p>
    <w:p w:rsidR="00424A5A" w:rsidRPr="005A5CA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Številka:</w:t>
            </w:r>
          </w:p>
        </w:tc>
        <w:tc>
          <w:tcPr>
            <w:tcW w:w="216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43001-482/2020-01</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oznaka naročila:</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A-10/21 G</w:t>
            </w:r>
            <w:r w:rsidR="00424A5A" w:rsidRPr="005A5CAF">
              <w:rPr>
                <w:rFonts w:ascii="Tahoma" w:hAnsi="Tahoma" w:cs="Tahoma"/>
                <w:color w:val="0000FF"/>
                <w:sz w:val="20"/>
                <w:szCs w:val="20"/>
              </w:rPr>
              <w:t xml:space="preserve">   </w:t>
            </w:r>
          </w:p>
        </w:tc>
      </w:tr>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Datum:</w:t>
            </w:r>
          </w:p>
        </w:tc>
        <w:tc>
          <w:tcPr>
            <w:tcW w:w="216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30.12.2020</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MFERAC:</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2431-20-001805/0</w:t>
            </w:r>
          </w:p>
        </w:tc>
      </w:tr>
    </w:tbl>
    <w:p w:rsidR="00424A5A" w:rsidRPr="005A5CAF" w:rsidRDefault="00424A5A" w:rsidP="00424A5A">
      <w:pPr>
        <w:pStyle w:val="Telobesedila2"/>
        <w:ind w:left="-181" w:right="-210"/>
        <w:rPr>
          <w:rFonts w:ascii="Tahoma" w:hAnsi="Tahoma" w:cs="Tahoma"/>
          <w:szCs w:val="20"/>
        </w:rPr>
      </w:pPr>
    </w:p>
    <w:p w:rsidR="00E813F4" w:rsidRPr="005A5CAF" w:rsidRDefault="00E813F4" w:rsidP="00E813F4">
      <w:pPr>
        <w:pStyle w:val="Konnaopomba-besedilo"/>
        <w:spacing w:before="240"/>
        <w:jc w:val="center"/>
        <w:rPr>
          <w:rFonts w:ascii="Tahoma" w:hAnsi="Tahoma" w:cs="Tahoma"/>
          <w:b/>
          <w:spacing w:val="20"/>
          <w:szCs w:val="20"/>
        </w:rPr>
      </w:pPr>
      <w:r w:rsidRPr="005A5CAF">
        <w:rPr>
          <w:rFonts w:ascii="Tahoma" w:hAnsi="Tahoma" w:cs="Tahoma"/>
          <w:b/>
          <w:spacing w:val="20"/>
          <w:szCs w:val="20"/>
        </w:rPr>
        <w:t xml:space="preserve">POJASNILA RAZPISNE DOKUMENTACIJE </w:t>
      </w:r>
    </w:p>
    <w:p w:rsidR="00E813F4" w:rsidRPr="005A5CAF" w:rsidRDefault="00E813F4" w:rsidP="00E813F4">
      <w:pPr>
        <w:pStyle w:val="Konnaopomba-besedilo"/>
        <w:jc w:val="center"/>
        <w:rPr>
          <w:rFonts w:ascii="Tahoma" w:hAnsi="Tahoma" w:cs="Tahoma"/>
          <w:b/>
          <w:spacing w:val="20"/>
          <w:szCs w:val="20"/>
        </w:rPr>
      </w:pPr>
      <w:r w:rsidRPr="005A5CAF">
        <w:rPr>
          <w:rFonts w:ascii="Tahoma" w:hAnsi="Tahoma" w:cs="Tahoma"/>
          <w:b/>
          <w:spacing w:val="20"/>
          <w:szCs w:val="20"/>
        </w:rPr>
        <w:t xml:space="preserve">za oddajo javnega naročila </w:t>
      </w:r>
    </w:p>
    <w:p w:rsidR="00E813F4" w:rsidRPr="005A5CA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A5CAF">
        <w:tc>
          <w:tcPr>
            <w:tcW w:w="9288" w:type="dxa"/>
          </w:tcPr>
          <w:p w:rsidR="00E813F4" w:rsidRPr="005A5CAF" w:rsidRDefault="005A5CAF" w:rsidP="003560E2">
            <w:pPr>
              <w:pStyle w:val="Konnaopomba-besedilo"/>
              <w:jc w:val="center"/>
              <w:rPr>
                <w:rFonts w:ascii="Tahoma" w:hAnsi="Tahoma" w:cs="Tahoma"/>
                <w:b/>
                <w:szCs w:val="20"/>
              </w:rPr>
            </w:pPr>
            <w:r w:rsidRPr="005A5CAF">
              <w:rPr>
                <w:rFonts w:ascii="Tahoma" w:hAnsi="Tahoma" w:cs="Tahoma"/>
                <w:b/>
                <w:szCs w:val="20"/>
              </w:rPr>
              <w:t>Rekonstrukcija mostu čez Dravo v Rušah (MB0261) na R2-435/1439 v km 1,950</w:t>
            </w:r>
          </w:p>
        </w:tc>
      </w:tr>
    </w:tbl>
    <w:p w:rsidR="00E813F4" w:rsidRPr="005A5CAF" w:rsidRDefault="00E813F4" w:rsidP="00E813F4">
      <w:pPr>
        <w:pStyle w:val="Konnaopomba-besedilo"/>
        <w:jc w:val="both"/>
        <w:rPr>
          <w:rFonts w:ascii="Tahoma" w:hAnsi="Tahoma" w:cs="Tahoma"/>
          <w:szCs w:val="20"/>
        </w:rPr>
      </w:pPr>
    </w:p>
    <w:p w:rsidR="005A5CAF" w:rsidRPr="005A5CAF" w:rsidRDefault="005A5CAF" w:rsidP="005A5CAF">
      <w:pPr>
        <w:spacing w:before="128" w:after="128"/>
        <w:outlineLvl w:val="3"/>
        <w:rPr>
          <w:rFonts w:ascii="Tahoma" w:hAnsi="Tahoma" w:cs="Tahoma"/>
          <w:b/>
          <w:color w:val="333333"/>
          <w:sz w:val="20"/>
          <w:szCs w:val="20"/>
          <w:lang w:eastAsia="sl-SI"/>
        </w:rPr>
      </w:pPr>
      <w:r w:rsidRPr="005A5CAF">
        <w:rPr>
          <w:rFonts w:ascii="Tahoma" w:hAnsi="Tahoma" w:cs="Tahoma"/>
          <w:b/>
          <w:color w:val="333333"/>
          <w:sz w:val="20"/>
          <w:szCs w:val="20"/>
          <w:lang w:eastAsia="sl-SI"/>
        </w:rPr>
        <w:t>JN007919/2020-B01 - A-10/21; datum objave: 22.12.2020</w:t>
      </w:r>
    </w:p>
    <w:p w:rsidR="00E813F4" w:rsidRPr="005A5CAF" w:rsidRDefault="005A5CAF" w:rsidP="00E813F4">
      <w:pPr>
        <w:pStyle w:val="Konnaopomba-besedilo"/>
        <w:jc w:val="both"/>
        <w:rPr>
          <w:rFonts w:ascii="Tahoma" w:hAnsi="Tahoma" w:cs="Tahoma"/>
          <w:b/>
          <w:szCs w:val="20"/>
        </w:rPr>
      </w:pPr>
      <w:r w:rsidRPr="005A5CAF">
        <w:rPr>
          <w:rFonts w:ascii="Tahoma" w:hAnsi="Tahoma" w:cs="Tahoma"/>
          <w:b/>
          <w:color w:val="333333"/>
          <w:szCs w:val="20"/>
          <w:shd w:val="clear" w:color="auto" w:fill="FFFFFF"/>
        </w:rPr>
        <w:t>Datum prejema: 30.12.2020   10:31</w:t>
      </w:r>
    </w:p>
    <w:p w:rsidR="00E813F4" w:rsidRPr="005A5CAF" w:rsidRDefault="00E813F4" w:rsidP="00E813F4">
      <w:pPr>
        <w:pStyle w:val="Telobesedila2"/>
        <w:widowControl w:val="0"/>
        <w:spacing w:line="254" w:lineRule="atLeast"/>
        <w:rPr>
          <w:rFonts w:ascii="Tahoma" w:hAnsi="Tahoma" w:cs="Tahoma"/>
          <w:b/>
          <w:szCs w:val="20"/>
        </w:rPr>
      </w:pPr>
      <w:r w:rsidRPr="005A5CAF">
        <w:rPr>
          <w:rFonts w:ascii="Tahoma" w:hAnsi="Tahoma" w:cs="Tahoma"/>
          <w:b/>
          <w:szCs w:val="20"/>
        </w:rPr>
        <w:t>Vprašanje:</w:t>
      </w:r>
    </w:p>
    <w:p w:rsidR="00E813F4" w:rsidRPr="005A5CAF" w:rsidRDefault="00E813F4" w:rsidP="005A5CAF">
      <w:pPr>
        <w:widowControl w:val="0"/>
        <w:spacing w:before="60" w:line="254" w:lineRule="atLeast"/>
        <w:jc w:val="both"/>
        <w:rPr>
          <w:rFonts w:ascii="Tahoma" w:hAnsi="Tahoma" w:cs="Tahoma"/>
          <w:b/>
          <w:sz w:val="20"/>
          <w:szCs w:val="20"/>
        </w:rPr>
      </w:pPr>
    </w:p>
    <w:p w:rsidR="00E813F4" w:rsidRPr="005A5CAF" w:rsidRDefault="005A5CAF" w:rsidP="005A5CAF">
      <w:pPr>
        <w:pStyle w:val="Telobesedila2"/>
        <w:jc w:val="left"/>
        <w:rPr>
          <w:rFonts w:ascii="Tahoma" w:hAnsi="Tahoma" w:cs="Tahoma"/>
          <w:b/>
          <w:szCs w:val="20"/>
        </w:rPr>
      </w:pPr>
      <w:r w:rsidRPr="005A5CAF">
        <w:rPr>
          <w:rFonts w:ascii="Tahoma" w:hAnsi="Tahoma" w:cs="Tahoma"/>
          <w:color w:val="333333"/>
          <w:szCs w:val="20"/>
          <w:shd w:val="clear" w:color="auto" w:fill="FFFFFF"/>
        </w:rPr>
        <w:t>Pozdravljeni !</w:t>
      </w:r>
      <w:r w:rsidRPr="005A5CAF">
        <w:rPr>
          <w:rFonts w:ascii="Tahoma" w:hAnsi="Tahoma" w:cs="Tahoma"/>
          <w:color w:val="333333"/>
          <w:szCs w:val="20"/>
        </w:rPr>
        <w:br/>
      </w:r>
      <w:r w:rsidRPr="005A5CAF">
        <w:rPr>
          <w:rFonts w:ascii="Tahoma" w:hAnsi="Tahoma" w:cs="Tahoma"/>
          <w:color w:val="333333"/>
          <w:szCs w:val="20"/>
        </w:rPr>
        <w:br/>
      </w:r>
      <w:r w:rsidRPr="005A5CAF">
        <w:rPr>
          <w:rFonts w:ascii="Tahoma" w:hAnsi="Tahoma" w:cs="Tahoma"/>
          <w:color w:val="333333"/>
          <w:szCs w:val="20"/>
          <w:shd w:val="clear" w:color="auto" w:fill="FFFFFF"/>
        </w:rPr>
        <w:t>Naročnik je v točkah 3.2.3.3 (za vodjo del) in 3.2.3.4 (za ponudnika), v okviru Tehnične in strokovne sposobnosti med drugim določil, referenčne posle:</w:t>
      </w:r>
      <w:r w:rsidRPr="005A5CAF">
        <w:rPr>
          <w:rFonts w:ascii="Tahoma" w:hAnsi="Tahoma" w:cs="Tahoma"/>
          <w:color w:val="333333"/>
          <w:szCs w:val="20"/>
        </w:rPr>
        <w:br/>
      </w:r>
      <w:r w:rsidRPr="005A5CAF">
        <w:rPr>
          <w:rFonts w:ascii="Tahoma" w:hAnsi="Tahoma" w:cs="Tahoma"/>
          <w:color w:val="333333"/>
          <w:szCs w:val="20"/>
        </w:rPr>
        <w:br/>
      </w:r>
      <w:r w:rsidRPr="005A5CAF">
        <w:rPr>
          <w:rFonts w:ascii="Tahoma" w:hAnsi="Tahoma" w:cs="Tahoma"/>
          <w:color w:val="333333"/>
          <w:szCs w:val="20"/>
          <w:shd w:val="clear" w:color="auto" w:fill="FFFFFF"/>
        </w:rPr>
        <w:t>a) Novogradnjo ali rekonstrukcijo premostitvenega s kabli prednapetega armirano betonskega objekta z razpetino med dvema sosednjima podporama vsaj 20 m</w:t>
      </w:r>
      <w:r w:rsidRPr="005A5CAF">
        <w:rPr>
          <w:rFonts w:ascii="Tahoma" w:hAnsi="Tahoma" w:cs="Tahoma"/>
          <w:color w:val="333333"/>
          <w:szCs w:val="20"/>
        </w:rPr>
        <w:br/>
      </w:r>
      <w:r w:rsidRPr="005A5CAF">
        <w:rPr>
          <w:rFonts w:ascii="Tahoma" w:hAnsi="Tahoma" w:cs="Tahoma"/>
          <w:color w:val="333333"/>
          <w:szCs w:val="20"/>
          <w:shd w:val="clear" w:color="auto" w:fill="FFFFFF"/>
        </w:rPr>
        <w:t>b) Novogradnjo ali rekonstrukcijo premostitvenega s kabli prednapetega armirano betonskega objekta v vrednosti vsaj 1.000.000,00 (brez DDV)</w:t>
      </w:r>
      <w:r w:rsidRPr="005A5CAF">
        <w:rPr>
          <w:rFonts w:ascii="Tahoma" w:hAnsi="Tahoma" w:cs="Tahoma"/>
          <w:color w:val="333333"/>
          <w:szCs w:val="20"/>
        </w:rPr>
        <w:br/>
      </w:r>
      <w:r w:rsidRPr="005A5CAF">
        <w:rPr>
          <w:rFonts w:ascii="Tahoma" w:hAnsi="Tahoma" w:cs="Tahoma"/>
          <w:color w:val="333333"/>
          <w:szCs w:val="20"/>
          <w:shd w:val="clear" w:color="auto" w:fill="FFFFFF"/>
        </w:rPr>
        <w:t>c) Novogradnjo ali rekonstrukcijo ceste v dolžini vsaj 100 m</w:t>
      </w:r>
      <w:r w:rsidRPr="005A5CAF">
        <w:rPr>
          <w:rFonts w:ascii="Tahoma" w:hAnsi="Tahoma" w:cs="Tahoma"/>
          <w:color w:val="333333"/>
          <w:szCs w:val="20"/>
        </w:rPr>
        <w:br/>
      </w:r>
      <w:r w:rsidRPr="005A5CAF">
        <w:rPr>
          <w:rFonts w:ascii="Tahoma" w:hAnsi="Tahoma" w:cs="Tahoma"/>
          <w:color w:val="333333"/>
          <w:szCs w:val="20"/>
        </w:rPr>
        <w:br/>
      </w:r>
      <w:r w:rsidRPr="005A5CAF">
        <w:rPr>
          <w:rFonts w:ascii="Tahoma" w:hAnsi="Tahoma" w:cs="Tahoma"/>
          <w:color w:val="333333"/>
          <w:szCs w:val="20"/>
          <w:shd w:val="clear" w:color="auto" w:fill="FFFFFF"/>
        </w:rPr>
        <w:t>Ponudnik predlaga, da se zahteve glede referenčnih poslov spremenijo tako glede vodje del (točka 3.2.3.3) kot tudi za ponudnika (točka 3.2.3.4), tako, da se zahteva »Novogradnjo ali rekonstrukcijo premostitvenega s kabli prednapetega armirano betonskega objekta v vrednosti vsaj 1.000.000,00 Eur (brez DDV)«, preoblikuje tako, da glasi: Novogradnjo ali rekonstrukcijo premostitvenega armirano betonskega objekta v vrednosti vsaj 500.000,00 Eur (brez DDV)«. Namreč zahteva glede prednapetih kablov se po nepotrebnem podvoji in je vsebovana že v zahtevi Novogradnjo ali rekonstrukcijo premostitvenega s kabli prednapetega armirano betonskega objekta z razpetino med dvema sosednjima podporama vsaj 20 m, vrsta in narava del imajo namreč vsebinsko podobne elemente/faze del. Zahteve po referenčnih poslih, v smislu dokazovanja Tehnične in strokovne sposobnosti je treba presojati z vidika prvega odstavka 76. člena ZJN-3, ki določa, da lahko naročnik v razpisni dokumentaciji določi objektivna pravila in pogoje za sodelovanje, ki se lahko nanašajo na ustreznost za opravljanje poklicne dejavnosti, ekonomski in finančni položaj ter tehnično in strokovno sposobnost ponudnikov. Naročnik lahko v postopek javnega naročanja vključi le tiste zahteve, ki so potrebne za zagotovitev, da ima ponudnik ustrezne tehnične in strokovne sposobnosti za izvedbo javnega naročila, ki se oddaja. Določila točke 3.2.3.3 in 3.2.3.4 namreč omejujejo konkurenco in neposredno kršijo enakopravno obravnave ponudnikov, saj podvajanje zahtev tako za vodjo del kot potem tudi za ponudnika, ne smejo biti razlikovalni znak med ponudniki naročnik namreč mora zagotoviti, da med ponudniki na vseh stopnjah postopka javnega naročanja in glede vseh elementov ni razlikovanja (7. člen ZJN-3). Zahteva vrednost referenčnih del 1.000.000,00 Eur tudi ni sorazmerna predmetu javnega naročanja oz. ni smiselno povezana s predmetom javnega naročila (8. člen ZJN-3, pa tudi drugi odstavek 76. člena ZJN-3) in kot tako, dodatno omejuje konkurenco. Referenca je po svoji naravi dokazilo, da je ponudnik sposoben izvesti javno naročilo v zahtevanem obsegu in kvaliteti, saj z njo dokazuje, da je istovrstno gradnjo v preteklosti že uspešno izvedel.</w:t>
      </w:r>
    </w:p>
    <w:p w:rsidR="00E813F4" w:rsidRPr="005A5CAF" w:rsidRDefault="00E813F4" w:rsidP="00E813F4">
      <w:pPr>
        <w:pStyle w:val="Telobesedila2"/>
        <w:rPr>
          <w:rFonts w:ascii="Tahoma" w:hAnsi="Tahoma" w:cs="Tahoma"/>
          <w:b/>
          <w:szCs w:val="20"/>
        </w:rPr>
      </w:pPr>
    </w:p>
    <w:p w:rsidR="00F05052" w:rsidRDefault="00F05052" w:rsidP="00E813F4">
      <w:pPr>
        <w:pStyle w:val="Telobesedila2"/>
        <w:rPr>
          <w:rFonts w:ascii="Tahoma" w:hAnsi="Tahoma" w:cs="Tahoma"/>
          <w:b/>
          <w:szCs w:val="20"/>
        </w:rPr>
      </w:pPr>
    </w:p>
    <w:p w:rsidR="00F05052" w:rsidRDefault="00F05052" w:rsidP="00E813F4">
      <w:pPr>
        <w:pStyle w:val="Telobesedila2"/>
        <w:rPr>
          <w:rFonts w:ascii="Tahoma" w:hAnsi="Tahoma" w:cs="Tahoma"/>
          <w:b/>
          <w:szCs w:val="20"/>
        </w:rPr>
      </w:pPr>
    </w:p>
    <w:p w:rsidR="00F05052" w:rsidRDefault="00F05052" w:rsidP="00E813F4">
      <w:pPr>
        <w:pStyle w:val="Telobesedila2"/>
        <w:rPr>
          <w:rFonts w:ascii="Tahoma" w:hAnsi="Tahoma" w:cs="Tahoma"/>
          <w:b/>
          <w:szCs w:val="20"/>
        </w:rPr>
      </w:pPr>
    </w:p>
    <w:p w:rsidR="00E813F4" w:rsidRDefault="00E813F4" w:rsidP="00E813F4">
      <w:pPr>
        <w:pStyle w:val="Telobesedila2"/>
        <w:rPr>
          <w:rFonts w:ascii="Tahoma" w:hAnsi="Tahoma" w:cs="Tahoma"/>
          <w:b/>
          <w:szCs w:val="20"/>
        </w:rPr>
      </w:pPr>
      <w:r w:rsidRPr="005A5CAF">
        <w:rPr>
          <w:rFonts w:ascii="Tahoma" w:hAnsi="Tahoma" w:cs="Tahoma"/>
          <w:b/>
          <w:szCs w:val="20"/>
        </w:rPr>
        <w:t>Odgovor:</w:t>
      </w:r>
    </w:p>
    <w:p w:rsidR="00F05052" w:rsidRDefault="00F05052" w:rsidP="00E813F4">
      <w:pPr>
        <w:pStyle w:val="Telobesedila2"/>
        <w:rPr>
          <w:rFonts w:ascii="Tahoma" w:hAnsi="Tahoma" w:cs="Tahoma"/>
          <w:b/>
          <w:szCs w:val="20"/>
        </w:rPr>
      </w:pPr>
    </w:p>
    <w:p w:rsidR="00F05052" w:rsidRDefault="00F05052" w:rsidP="00E813F4">
      <w:pPr>
        <w:pStyle w:val="Telobesedila2"/>
        <w:rPr>
          <w:rFonts w:ascii="Tahoma" w:hAnsi="Tahoma" w:cs="Tahoma"/>
          <w:szCs w:val="20"/>
        </w:rPr>
      </w:pPr>
      <w:r w:rsidRPr="00F05052">
        <w:rPr>
          <w:rFonts w:ascii="Tahoma" w:hAnsi="Tahoma" w:cs="Tahoma"/>
          <w:szCs w:val="20"/>
        </w:rPr>
        <w:t xml:space="preserve">Strinjamo se z vami, </w:t>
      </w:r>
      <w:r>
        <w:rPr>
          <w:rFonts w:ascii="Tahoma" w:hAnsi="Tahoma" w:cs="Tahoma"/>
          <w:szCs w:val="20"/>
        </w:rPr>
        <w:t xml:space="preserve">da je tudi v interesu naročnika, da pridobi konkurenčne ponudbe večjega števila ponudnikov, vendar mora biti ponudnik </w:t>
      </w:r>
      <w:r w:rsidRPr="00F05052">
        <w:rPr>
          <w:rFonts w:ascii="Tahoma" w:hAnsi="Tahoma" w:cs="Tahoma"/>
          <w:szCs w:val="20"/>
        </w:rPr>
        <w:t>glede n</w:t>
      </w:r>
      <w:r>
        <w:rPr>
          <w:rFonts w:ascii="Tahoma" w:hAnsi="Tahoma" w:cs="Tahoma"/>
          <w:szCs w:val="20"/>
        </w:rPr>
        <w:t>a zahtevnost posla ustrezno usposobljen in opremljen.</w:t>
      </w:r>
    </w:p>
    <w:p w:rsidR="00F05052" w:rsidRDefault="00F05052" w:rsidP="00E813F4">
      <w:pPr>
        <w:pStyle w:val="Telobesedila2"/>
        <w:rPr>
          <w:rFonts w:ascii="Tahoma" w:hAnsi="Tahoma" w:cs="Tahoma"/>
          <w:szCs w:val="20"/>
        </w:rPr>
      </w:pPr>
    </w:p>
    <w:p w:rsidR="00F05052" w:rsidRDefault="00F05052" w:rsidP="00E813F4">
      <w:pPr>
        <w:pStyle w:val="Telobesedila2"/>
        <w:rPr>
          <w:rFonts w:ascii="Tahoma" w:hAnsi="Tahoma" w:cs="Tahoma"/>
          <w:szCs w:val="20"/>
        </w:rPr>
      </w:pPr>
      <w:r>
        <w:rPr>
          <w:rFonts w:ascii="Tahoma" w:hAnsi="Tahoma" w:cs="Tahoma"/>
          <w:szCs w:val="20"/>
        </w:rPr>
        <w:t xml:space="preserve">Glede na dejstvo, da je potrebna referenca s prednapetimi kabli dejansko vsebovana v dveh referenčnih pogojih, se spremenijo referenčni pogoji navodil za pripravo ponudbe </w:t>
      </w:r>
      <w:r w:rsidRPr="00F05052">
        <w:rPr>
          <w:rFonts w:ascii="Tahoma" w:hAnsi="Tahoma" w:cs="Tahoma"/>
          <w:szCs w:val="20"/>
        </w:rPr>
        <w:t>v točkah 3.2.3.3 (za vodjo</w:t>
      </w:r>
      <w:r w:rsidR="004B58A0">
        <w:rPr>
          <w:rFonts w:ascii="Tahoma" w:hAnsi="Tahoma" w:cs="Tahoma"/>
          <w:szCs w:val="20"/>
        </w:rPr>
        <w:t xml:space="preserve"> del) in 3.2.3.4 (za ponudnika) tako, da se glasijo:</w:t>
      </w:r>
    </w:p>
    <w:p w:rsidR="004B58A0" w:rsidRDefault="004B58A0" w:rsidP="00E813F4">
      <w:pPr>
        <w:pStyle w:val="Telobesedila2"/>
        <w:rPr>
          <w:rFonts w:ascii="Tahoma" w:hAnsi="Tahoma" w:cs="Tahoma"/>
          <w:szCs w:val="20"/>
        </w:rPr>
      </w:pPr>
    </w:p>
    <w:p w:rsidR="004B58A0" w:rsidRPr="004B58A0" w:rsidRDefault="004B58A0" w:rsidP="004B58A0">
      <w:pPr>
        <w:numPr>
          <w:ilvl w:val="3"/>
          <w:numId w:val="20"/>
        </w:numPr>
        <w:tabs>
          <w:tab w:val="left" w:pos="1418"/>
        </w:tabs>
        <w:spacing w:before="60"/>
        <w:jc w:val="both"/>
        <w:rPr>
          <w:rFonts w:ascii="Arial" w:hAnsi="Arial" w:cs="Arial"/>
          <w:sz w:val="20"/>
          <w:szCs w:val="20"/>
          <w:lang w:eastAsia="sl-SI"/>
        </w:rPr>
      </w:pPr>
      <w:r w:rsidRPr="004B58A0">
        <w:rPr>
          <w:rFonts w:ascii="Arial" w:hAnsi="Arial" w:cs="Arial"/>
          <w:sz w:val="20"/>
          <w:szCs w:val="20"/>
          <w:lang w:eastAsia="sl-SI"/>
        </w:rPr>
        <w:t>Zagotovljen mora biti vodja del, ki izpolnjuje naslednje zahteve:</w:t>
      </w:r>
    </w:p>
    <w:p w:rsidR="004B58A0" w:rsidRPr="004B58A0" w:rsidRDefault="004B58A0" w:rsidP="004B58A0">
      <w:pPr>
        <w:numPr>
          <w:ilvl w:val="0"/>
          <w:numId w:val="18"/>
        </w:numPr>
        <w:tabs>
          <w:tab w:val="left" w:pos="-1560"/>
        </w:tabs>
        <w:jc w:val="both"/>
        <w:rPr>
          <w:rFonts w:ascii="Arial" w:hAnsi="Arial" w:cs="Arial"/>
          <w:sz w:val="20"/>
          <w:szCs w:val="20"/>
          <w:lang w:eastAsia="sl-SI"/>
        </w:rPr>
      </w:pPr>
      <w:r w:rsidRPr="004B58A0">
        <w:rPr>
          <w:rFonts w:ascii="Arial" w:hAnsi="Arial" w:cs="Arial"/>
          <w:sz w:val="20"/>
          <w:szCs w:val="20"/>
          <w:lang w:eastAsia="sl-SI"/>
        </w:rPr>
        <w:t xml:space="preserve"> ima strokovno izobrazbo s področja gradbeništva</w:t>
      </w:r>
    </w:p>
    <w:p w:rsidR="004B58A0" w:rsidRPr="004B58A0" w:rsidRDefault="004B58A0" w:rsidP="004B58A0">
      <w:pPr>
        <w:numPr>
          <w:ilvl w:val="0"/>
          <w:numId w:val="18"/>
        </w:numPr>
        <w:tabs>
          <w:tab w:val="left" w:pos="-1560"/>
        </w:tabs>
        <w:jc w:val="both"/>
        <w:rPr>
          <w:rFonts w:ascii="Arial" w:hAnsi="Arial" w:cs="Arial"/>
          <w:sz w:val="20"/>
          <w:szCs w:val="20"/>
          <w:lang w:eastAsia="sl-SI"/>
        </w:rPr>
      </w:pPr>
      <w:r w:rsidRPr="004B58A0">
        <w:rPr>
          <w:rFonts w:ascii="Arial" w:hAnsi="Arial" w:cs="Arial"/>
          <w:sz w:val="20"/>
          <w:szCs w:val="20"/>
          <w:lang w:eastAsia="sl-SI"/>
        </w:rPr>
        <w:t xml:space="preserve"> vpisan je v imenik pri Inženirski zbornici Slovenije (IZS) kot pooblaščeni inženir ali kot </w:t>
      </w:r>
      <w:proofErr w:type="spellStart"/>
      <w:r w:rsidRPr="004B58A0">
        <w:rPr>
          <w:rFonts w:ascii="Arial" w:hAnsi="Arial" w:cs="Arial"/>
          <w:sz w:val="20"/>
          <w:szCs w:val="20"/>
          <w:lang w:eastAsia="sl-SI"/>
        </w:rPr>
        <w:t>Vz</w:t>
      </w:r>
      <w:proofErr w:type="spellEnd"/>
      <w:r w:rsidRPr="004B58A0">
        <w:rPr>
          <w:rFonts w:ascii="Arial" w:hAnsi="Arial" w:cs="Arial"/>
          <w:sz w:val="20"/>
          <w:szCs w:val="20"/>
          <w:lang w:eastAsia="sl-SI"/>
        </w:rPr>
        <w:t xml:space="preserve"> vodja del, s pooblastilom za vodenje celotne gradnje ali pretežnega dela gradnje zahtevnega in manj zahtevnega objekta</w:t>
      </w:r>
    </w:p>
    <w:p w:rsidR="004B58A0" w:rsidRPr="004B58A0" w:rsidRDefault="004B58A0" w:rsidP="004B58A0">
      <w:pPr>
        <w:numPr>
          <w:ilvl w:val="0"/>
          <w:numId w:val="18"/>
        </w:numPr>
        <w:tabs>
          <w:tab w:val="left" w:pos="-1560"/>
        </w:tabs>
        <w:jc w:val="both"/>
        <w:rPr>
          <w:rFonts w:ascii="Arial" w:hAnsi="Arial" w:cs="Arial"/>
          <w:strike/>
          <w:color w:val="FF0000"/>
          <w:sz w:val="20"/>
          <w:szCs w:val="20"/>
          <w:lang w:eastAsia="sl-SI"/>
        </w:rPr>
      </w:pPr>
      <w:r w:rsidRPr="004B58A0">
        <w:rPr>
          <w:rFonts w:ascii="Arial" w:hAnsi="Arial" w:cs="Arial"/>
          <w:sz w:val="20"/>
          <w:szCs w:val="20"/>
          <w:lang w:eastAsia="sl-SI"/>
        </w:rPr>
        <w:t xml:space="preserve"> zaposlen je pri gospodarskemu subjektu (ponudnik, partner, podizvajalec), ki nastopa v ponudbi </w:t>
      </w:r>
    </w:p>
    <w:p w:rsidR="004B58A0" w:rsidRPr="004B58A0" w:rsidRDefault="004B58A0" w:rsidP="004B58A0">
      <w:pPr>
        <w:pStyle w:val="Odstavekseznama"/>
        <w:numPr>
          <w:ilvl w:val="0"/>
          <w:numId w:val="22"/>
        </w:numPr>
        <w:tabs>
          <w:tab w:val="left" w:pos="-1560"/>
        </w:tabs>
        <w:jc w:val="both"/>
        <w:rPr>
          <w:rFonts w:ascii="Arial" w:hAnsi="Arial" w:cs="Arial"/>
          <w:sz w:val="20"/>
          <w:szCs w:val="20"/>
          <w:lang w:eastAsia="sl-SI"/>
        </w:rPr>
      </w:pPr>
      <w:r w:rsidRPr="004B58A0">
        <w:rPr>
          <w:rFonts w:ascii="Arial" w:hAnsi="Arial" w:cs="Arial"/>
          <w:sz w:val="20"/>
          <w:szCs w:val="20"/>
          <w:lang w:eastAsia="sl-SI"/>
        </w:rPr>
        <w:t>aktivno govori slovenski jezik</w:t>
      </w:r>
    </w:p>
    <w:p w:rsidR="004B58A0" w:rsidRPr="004B58A0" w:rsidRDefault="004B58A0" w:rsidP="004B58A0">
      <w:pPr>
        <w:numPr>
          <w:ilvl w:val="0"/>
          <w:numId w:val="18"/>
        </w:numPr>
        <w:tabs>
          <w:tab w:val="left" w:pos="-1560"/>
        </w:tabs>
        <w:jc w:val="both"/>
        <w:rPr>
          <w:rFonts w:ascii="Arial" w:hAnsi="Arial" w:cs="Arial"/>
          <w:sz w:val="20"/>
          <w:szCs w:val="20"/>
          <w:lang w:eastAsia="sl-SI"/>
        </w:rPr>
      </w:pPr>
      <w:r w:rsidRPr="004B58A0">
        <w:rPr>
          <w:rFonts w:ascii="Arial" w:hAnsi="Arial" w:cs="Arial"/>
          <w:sz w:val="20"/>
          <w:szCs w:val="20"/>
          <w:lang w:eastAsia="sl-SI"/>
        </w:rPr>
        <w:t xml:space="preserve">v zadnjih desetih letih pred rokom za oddajo ponudb je kot odgovorni vodja del, posameznih del ali gradbišča (nazivi po ZGO-1) oz. vodja gradnje ali vodja del (nazivi po GZ) na državni ali lokalni cesti vsaj enkrat vodil: </w:t>
      </w:r>
    </w:p>
    <w:p w:rsidR="004B58A0" w:rsidRPr="004B58A0" w:rsidRDefault="004B58A0" w:rsidP="004B58A0">
      <w:pPr>
        <w:numPr>
          <w:ilvl w:val="0"/>
          <w:numId w:val="19"/>
        </w:numPr>
        <w:tabs>
          <w:tab w:val="num" w:pos="-2552"/>
          <w:tab w:val="left" w:pos="-1560"/>
          <w:tab w:val="left" w:pos="1843"/>
        </w:tabs>
        <w:ind w:left="1843" w:hanging="283"/>
        <w:jc w:val="both"/>
        <w:rPr>
          <w:rFonts w:ascii="Arial" w:hAnsi="Arial" w:cs="Arial"/>
          <w:sz w:val="20"/>
          <w:szCs w:val="20"/>
          <w:lang w:eastAsia="sl-SI"/>
        </w:rPr>
      </w:pPr>
      <w:r w:rsidRPr="004B58A0">
        <w:rPr>
          <w:rFonts w:ascii="Arial" w:hAnsi="Arial" w:cs="Arial"/>
          <w:sz w:val="20"/>
          <w:szCs w:val="20"/>
          <w:lang w:eastAsia="sl-SI"/>
        </w:rPr>
        <w:t xml:space="preserve">novogradnjo ali rekonstrukcijo premostitvenega s kabli prednapetega armirano betonskega objekta z razpetino med dvema sosednjima podporama vsaj 20 m </w:t>
      </w:r>
    </w:p>
    <w:p w:rsidR="0035592D" w:rsidRPr="0035592D" w:rsidRDefault="0035592D" w:rsidP="004B58A0">
      <w:pPr>
        <w:numPr>
          <w:ilvl w:val="0"/>
          <w:numId w:val="19"/>
        </w:numPr>
        <w:tabs>
          <w:tab w:val="num" w:pos="-2552"/>
          <w:tab w:val="left" w:pos="-1560"/>
          <w:tab w:val="left" w:pos="1843"/>
        </w:tabs>
        <w:ind w:left="1843" w:hanging="283"/>
        <w:jc w:val="both"/>
        <w:rPr>
          <w:rFonts w:ascii="Arial" w:hAnsi="Arial" w:cs="Arial"/>
          <w:sz w:val="20"/>
          <w:szCs w:val="20"/>
          <w:lang w:eastAsia="sl-SI"/>
        </w:rPr>
      </w:pPr>
      <w:r>
        <w:rPr>
          <w:rFonts w:ascii="Arial" w:hAnsi="Arial" w:cs="Arial"/>
          <w:color w:val="2E74B5" w:themeColor="accent1" w:themeShade="BF"/>
          <w:sz w:val="20"/>
          <w:szCs w:val="20"/>
          <w:lang w:eastAsia="sl-SI"/>
        </w:rPr>
        <w:t>n</w:t>
      </w:r>
      <w:r w:rsidRPr="0035592D">
        <w:rPr>
          <w:rFonts w:ascii="Arial" w:hAnsi="Arial" w:cs="Arial"/>
          <w:color w:val="2E74B5" w:themeColor="accent1" w:themeShade="BF"/>
          <w:sz w:val="20"/>
          <w:szCs w:val="20"/>
          <w:lang w:eastAsia="sl-SI"/>
        </w:rPr>
        <w:t>ovogradnjo ali rekonstrukcijo premostitvenega armirano betons</w:t>
      </w:r>
      <w:r>
        <w:rPr>
          <w:rFonts w:ascii="Arial" w:hAnsi="Arial" w:cs="Arial"/>
          <w:color w:val="2E74B5" w:themeColor="accent1" w:themeShade="BF"/>
          <w:sz w:val="20"/>
          <w:szCs w:val="20"/>
          <w:lang w:eastAsia="sl-SI"/>
        </w:rPr>
        <w:t>kega objekta v vrednosti vsaj 75</w:t>
      </w:r>
      <w:r w:rsidR="002E26EA">
        <w:rPr>
          <w:rFonts w:ascii="Arial" w:hAnsi="Arial" w:cs="Arial"/>
          <w:color w:val="2E74B5" w:themeColor="accent1" w:themeShade="BF"/>
          <w:sz w:val="20"/>
          <w:szCs w:val="20"/>
          <w:lang w:eastAsia="sl-SI"/>
        </w:rPr>
        <w:t>0.000,00 e</w:t>
      </w:r>
      <w:bookmarkStart w:id="0" w:name="_GoBack"/>
      <w:bookmarkEnd w:id="0"/>
      <w:r w:rsidRPr="0035592D">
        <w:rPr>
          <w:rFonts w:ascii="Arial" w:hAnsi="Arial" w:cs="Arial"/>
          <w:color w:val="2E74B5" w:themeColor="accent1" w:themeShade="BF"/>
          <w:sz w:val="20"/>
          <w:szCs w:val="20"/>
          <w:lang w:eastAsia="sl-SI"/>
        </w:rPr>
        <w:t>ur (brez DD</w:t>
      </w:r>
      <w:r>
        <w:rPr>
          <w:rFonts w:ascii="Arial" w:hAnsi="Arial" w:cs="Arial"/>
          <w:color w:val="2E74B5" w:themeColor="accent1" w:themeShade="BF"/>
          <w:sz w:val="20"/>
          <w:szCs w:val="20"/>
          <w:lang w:eastAsia="sl-SI"/>
        </w:rPr>
        <w:t>V)</w:t>
      </w:r>
    </w:p>
    <w:p w:rsidR="004B58A0" w:rsidRDefault="004B58A0" w:rsidP="004B58A0">
      <w:pPr>
        <w:numPr>
          <w:ilvl w:val="0"/>
          <w:numId w:val="19"/>
        </w:numPr>
        <w:tabs>
          <w:tab w:val="num" w:pos="-2552"/>
          <w:tab w:val="left" w:pos="-1560"/>
          <w:tab w:val="left" w:pos="1843"/>
        </w:tabs>
        <w:ind w:left="1843" w:hanging="283"/>
        <w:jc w:val="both"/>
        <w:rPr>
          <w:rFonts w:ascii="Arial" w:hAnsi="Arial" w:cs="Arial"/>
          <w:sz w:val="20"/>
          <w:szCs w:val="20"/>
          <w:lang w:eastAsia="sl-SI"/>
        </w:rPr>
      </w:pPr>
      <w:r w:rsidRPr="004B58A0">
        <w:rPr>
          <w:rFonts w:ascii="Arial" w:hAnsi="Arial" w:cs="Arial"/>
          <w:sz w:val="20"/>
          <w:szCs w:val="20"/>
          <w:lang w:eastAsia="sl-SI"/>
        </w:rPr>
        <w:t>novogradnjo ali rekonstrukcijo ceste v dolžini vsaj 100 m.</w:t>
      </w: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Pr="00CE4726" w:rsidRDefault="00CE4726" w:rsidP="00CE4726">
      <w:pPr>
        <w:keepNext/>
        <w:tabs>
          <w:tab w:val="left" w:pos="1276"/>
        </w:tabs>
        <w:spacing w:before="120"/>
        <w:ind w:left="1276" w:hanging="709"/>
        <w:jc w:val="both"/>
        <w:rPr>
          <w:rFonts w:ascii="Arial" w:hAnsi="Arial" w:cs="Arial"/>
          <w:sz w:val="20"/>
          <w:szCs w:val="20"/>
          <w:lang w:eastAsia="sl-SI"/>
        </w:rPr>
      </w:pPr>
      <w:r w:rsidRPr="00CE4726">
        <w:rPr>
          <w:rFonts w:ascii="Arial" w:hAnsi="Arial" w:cs="Arial"/>
          <w:sz w:val="20"/>
          <w:szCs w:val="20"/>
          <w:lang w:eastAsia="sl-SI"/>
        </w:rPr>
        <w:t>3.2.3.4</w:t>
      </w:r>
      <w:r w:rsidRPr="00CE4726">
        <w:rPr>
          <w:rFonts w:ascii="Arial" w:hAnsi="Arial" w:cs="Arial"/>
          <w:sz w:val="20"/>
          <w:szCs w:val="20"/>
          <w:lang w:eastAsia="sl-SI"/>
        </w:rPr>
        <w:tab/>
        <w:t>Ponudnik oziroma sodelujoči gospodarski subjekti mora izkazati naslednje uspešno izvedene referenčne posle na državni ali lokalni cesti iz zadnjih petih let pred rokom za oddajo ponudb:</w:t>
      </w:r>
    </w:p>
    <w:p w:rsidR="00CE4726" w:rsidRPr="00CE4726" w:rsidRDefault="00CE4726" w:rsidP="00CE4726">
      <w:pPr>
        <w:keepNext/>
        <w:numPr>
          <w:ilvl w:val="0"/>
          <w:numId w:val="23"/>
        </w:numPr>
        <w:tabs>
          <w:tab w:val="num" w:pos="-2552"/>
          <w:tab w:val="left" w:pos="1560"/>
        </w:tabs>
        <w:spacing w:before="60"/>
        <w:ind w:left="1560" w:hanging="284"/>
        <w:jc w:val="both"/>
        <w:rPr>
          <w:rFonts w:ascii="Arial" w:hAnsi="Arial" w:cs="Arial"/>
          <w:sz w:val="20"/>
          <w:szCs w:val="20"/>
          <w:lang w:eastAsia="sl-SI"/>
        </w:rPr>
      </w:pPr>
      <w:r w:rsidRPr="00CE4726">
        <w:rPr>
          <w:rFonts w:ascii="Arial" w:hAnsi="Arial" w:cs="Arial"/>
          <w:sz w:val="20"/>
          <w:szCs w:val="20"/>
          <w:lang w:eastAsia="sl-SI"/>
        </w:rPr>
        <w:t>novogradnjo ali rekonstrukcijo s kabli prednapetega armirano betonskega objekta z razpetino med dvema sosednjima podporama vsaj 20 m</w:t>
      </w:r>
    </w:p>
    <w:p w:rsidR="00CE4726" w:rsidRPr="00CE4726" w:rsidRDefault="00CE4726" w:rsidP="00CE4726">
      <w:pPr>
        <w:keepNext/>
        <w:numPr>
          <w:ilvl w:val="0"/>
          <w:numId w:val="23"/>
        </w:numPr>
        <w:tabs>
          <w:tab w:val="left" w:pos="1560"/>
        </w:tabs>
        <w:spacing w:before="60"/>
        <w:ind w:left="1560" w:hanging="284"/>
        <w:jc w:val="both"/>
        <w:rPr>
          <w:rFonts w:ascii="Arial" w:hAnsi="Arial" w:cs="Arial"/>
          <w:color w:val="2E74B5" w:themeColor="accent1" w:themeShade="BF"/>
          <w:sz w:val="20"/>
          <w:szCs w:val="20"/>
          <w:lang w:eastAsia="sl-SI"/>
        </w:rPr>
      </w:pPr>
      <w:r w:rsidRPr="00CE4726">
        <w:rPr>
          <w:rFonts w:ascii="Arial" w:hAnsi="Arial" w:cs="Arial"/>
          <w:color w:val="2E74B5" w:themeColor="accent1" w:themeShade="BF"/>
          <w:sz w:val="20"/>
          <w:szCs w:val="20"/>
          <w:lang w:eastAsia="sl-SI"/>
        </w:rPr>
        <w:t>novogradnjo ali rekonstrukcijo premostitvenega armirano betonske</w:t>
      </w:r>
      <w:r w:rsidR="002E26EA">
        <w:rPr>
          <w:rFonts w:ascii="Arial" w:hAnsi="Arial" w:cs="Arial"/>
          <w:color w:val="2E74B5" w:themeColor="accent1" w:themeShade="BF"/>
          <w:sz w:val="20"/>
          <w:szCs w:val="20"/>
          <w:lang w:eastAsia="sl-SI"/>
        </w:rPr>
        <w:t>ga objekta v vrednosti vsaj 75</w:t>
      </w:r>
      <w:r w:rsidRPr="00CE4726">
        <w:rPr>
          <w:rFonts w:ascii="Arial" w:hAnsi="Arial" w:cs="Arial"/>
          <w:color w:val="2E74B5" w:themeColor="accent1" w:themeShade="BF"/>
          <w:sz w:val="20"/>
          <w:szCs w:val="20"/>
          <w:lang w:eastAsia="sl-SI"/>
        </w:rPr>
        <w:t>0.000,00 eur (brez DDV)</w:t>
      </w:r>
    </w:p>
    <w:p w:rsidR="00CE4726" w:rsidRPr="00CE4726" w:rsidRDefault="00CE4726" w:rsidP="00CE4726">
      <w:pPr>
        <w:keepNext/>
        <w:numPr>
          <w:ilvl w:val="0"/>
          <w:numId w:val="23"/>
        </w:numPr>
        <w:tabs>
          <w:tab w:val="left" w:pos="1560"/>
        </w:tabs>
        <w:spacing w:before="60"/>
        <w:ind w:left="1560" w:hanging="284"/>
        <w:jc w:val="both"/>
        <w:rPr>
          <w:rFonts w:ascii="Arial" w:hAnsi="Arial" w:cs="Arial"/>
          <w:sz w:val="20"/>
          <w:szCs w:val="20"/>
          <w:lang w:eastAsia="sl-SI"/>
        </w:rPr>
      </w:pPr>
      <w:r w:rsidRPr="00CE4726">
        <w:rPr>
          <w:rFonts w:ascii="Arial" w:hAnsi="Arial" w:cs="Arial"/>
          <w:sz w:val="20"/>
          <w:szCs w:val="20"/>
          <w:lang w:eastAsia="sl-SI"/>
        </w:rPr>
        <w:t>novogradnjo ali rekonstrukcijo ceste v dolžini vsaj 100 m.</w:t>
      </w: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CE4726" w:rsidRDefault="00CE4726" w:rsidP="00CE4726">
      <w:pPr>
        <w:tabs>
          <w:tab w:val="left" w:pos="-1560"/>
          <w:tab w:val="left" w:pos="1843"/>
          <w:tab w:val="num" w:pos="2770"/>
        </w:tabs>
        <w:jc w:val="both"/>
        <w:rPr>
          <w:rFonts w:ascii="Arial" w:hAnsi="Arial" w:cs="Arial"/>
          <w:sz w:val="20"/>
          <w:szCs w:val="20"/>
          <w:lang w:eastAsia="sl-SI"/>
        </w:rPr>
      </w:pPr>
    </w:p>
    <w:p w:rsidR="004B58A0" w:rsidRPr="002E26EA" w:rsidRDefault="0035592D" w:rsidP="00E813F4">
      <w:pPr>
        <w:pStyle w:val="Telobesedila2"/>
        <w:rPr>
          <w:rFonts w:ascii="Tahoma" w:hAnsi="Tahoma" w:cs="Tahoma"/>
          <w:szCs w:val="20"/>
        </w:rPr>
      </w:pPr>
      <w:r w:rsidRPr="002E26EA">
        <w:rPr>
          <w:rFonts w:cs="Arial"/>
          <w:szCs w:val="20"/>
          <w:lang w:eastAsia="sl-SI"/>
        </w:rPr>
        <w:t>Naročnik objavlja čistopis Navodil za pripravo ponudbe_S1.</w:t>
      </w:r>
    </w:p>
    <w:p w:rsidR="004B58A0" w:rsidRDefault="004B58A0" w:rsidP="00E813F4">
      <w:pPr>
        <w:pStyle w:val="Telobesedila2"/>
        <w:rPr>
          <w:rFonts w:ascii="Tahoma" w:hAnsi="Tahoma" w:cs="Tahoma"/>
          <w:szCs w:val="20"/>
        </w:rPr>
      </w:pPr>
    </w:p>
    <w:p w:rsidR="004B58A0" w:rsidRDefault="004B58A0" w:rsidP="00E813F4">
      <w:pPr>
        <w:pStyle w:val="Telobesedila2"/>
        <w:rPr>
          <w:rFonts w:ascii="Tahoma" w:hAnsi="Tahoma" w:cs="Tahoma"/>
          <w:szCs w:val="20"/>
        </w:rPr>
      </w:pPr>
    </w:p>
    <w:p w:rsidR="004B58A0" w:rsidRPr="00F05052" w:rsidRDefault="004B58A0" w:rsidP="00E813F4">
      <w:pPr>
        <w:pStyle w:val="Telobesedila2"/>
        <w:rPr>
          <w:rFonts w:ascii="Tahoma" w:hAnsi="Tahoma" w:cs="Tahoma"/>
          <w:szCs w:val="20"/>
        </w:rPr>
      </w:pPr>
    </w:p>
    <w:p w:rsidR="00E813F4" w:rsidRPr="005A5CAF" w:rsidRDefault="00E813F4" w:rsidP="00E813F4">
      <w:pPr>
        <w:pStyle w:val="Konnaopomba-besedilo"/>
        <w:jc w:val="both"/>
        <w:rPr>
          <w:rFonts w:ascii="Tahoma" w:hAnsi="Tahoma" w:cs="Tahoma"/>
          <w:szCs w:val="20"/>
        </w:rPr>
      </w:pPr>
    </w:p>
    <w:p w:rsidR="00556816" w:rsidRPr="005A5CAF" w:rsidRDefault="00556816">
      <w:pPr>
        <w:rPr>
          <w:rFonts w:ascii="Tahoma" w:hAnsi="Tahoma" w:cs="Tahoma"/>
          <w:sz w:val="20"/>
          <w:szCs w:val="20"/>
        </w:rPr>
      </w:pPr>
    </w:p>
    <w:sectPr w:rsidR="00556816" w:rsidRPr="005A5CA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B2" w:rsidRDefault="00B217B2">
      <w:r>
        <w:separator/>
      </w:r>
    </w:p>
  </w:endnote>
  <w:endnote w:type="continuationSeparator" w:id="0">
    <w:p w:rsidR="00B217B2" w:rsidRDefault="00B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E26EA">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E26EA">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B2" w:rsidRDefault="00B217B2">
      <w:r>
        <w:separator/>
      </w:r>
    </w:p>
  </w:footnote>
  <w:footnote w:type="continuationSeparator" w:id="0">
    <w:p w:rsidR="00B217B2" w:rsidRDefault="00B2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38F01228"/>
    <w:multiLevelType w:val="hybridMultilevel"/>
    <w:tmpl w:val="B024C33E"/>
    <w:lvl w:ilvl="0" w:tplc="0A628B5C">
      <w:numFmt w:val="bullet"/>
      <w:lvlText w:val="-"/>
      <w:lvlJc w:val="left"/>
      <w:pPr>
        <w:ind w:left="1500" w:hanging="360"/>
      </w:pPr>
      <w:rPr>
        <w:rFonts w:ascii="Arial" w:eastAsia="Times New Roman"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6" w15:restartNumberingAfterBreak="0">
    <w:nsid w:val="403B6407"/>
    <w:multiLevelType w:val="multilevel"/>
    <w:tmpl w:val="4D1CB810"/>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325460"/>
    <w:multiLevelType w:val="hybridMultilevel"/>
    <w:tmpl w:val="25B4D4A8"/>
    <w:lvl w:ilvl="0" w:tplc="1FDC9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0"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1" w15:restartNumberingAfterBreak="0">
    <w:nsid w:val="7330557C"/>
    <w:multiLevelType w:val="singleLevel"/>
    <w:tmpl w:val="6B00434A"/>
    <w:lvl w:ilvl="0">
      <w:start w:val="1"/>
      <w:numFmt w:val="bullet"/>
      <w:lvlText w:val=""/>
      <w:lvlJc w:val="left"/>
      <w:pPr>
        <w:ind w:left="1495" w:hanging="360"/>
      </w:pPr>
      <w:rPr>
        <w:rFonts w:ascii="Symbol" w:hAnsi="Symbol" w:hint="default"/>
        <w:color w:val="auto"/>
        <w:sz w:val="16"/>
      </w:rPr>
    </w:lvl>
  </w:abstractNum>
  <w:abstractNum w:abstractNumId="22"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2"/>
  </w:num>
  <w:num w:numId="4">
    <w:abstractNumId w:val="6"/>
  </w:num>
  <w:num w:numId="5">
    <w:abstractNumId w:val="14"/>
  </w:num>
  <w:num w:numId="6">
    <w:abstractNumId w:val="20"/>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21"/>
  </w:num>
  <w:num w:numId="19">
    <w:abstractNumId w:val="19"/>
  </w:num>
  <w:num w:numId="20">
    <w:abstractNumId w:val="16"/>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646A9"/>
    <w:rsid w:val="001836BB"/>
    <w:rsid w:val="00216549"/>
    <w:rsid w:val="002507C2"/>
    <w:rsid w:val="00290551"/>
    <w:rsid w:val="002E26EA"/>
    <w:rsid w:val="003133A6"/>
    <w:rsid w:val="0035592D"/>
    <w:rsid w:val="003560E2"/>
    <w:rsid w:val="003579C0"/>
    <w:rsid w:val="00424A5A"/>
    <w:rsid w:val="0044323F"/>
    <w:rsid w:val="004B34B5"/>
    <w:rsid w:val="004B58A0"/>
    <w:rsid w:val="00556816"/>
    <w:rsid w:val="005A5CAF"/>
    <w:rsid w:val="00634B0D"/>
    <w:rsid w:val="00637BE6"/>
    <w:rsid w:val="009B1FD9"/>
    <w:rsid w:val="00A05C73"/>
    <w:rsid w:val="00A17575"/>
    <w:rsid w:val="00A21889"/>
    <w:rsid w:val="00AD3747"/>
    <w:rsid w:val="00B217B2"/>
    <w:rsid w:val="00CE4726"/>
    <w:rsid w:val="00DB7CDA"/>
    <w:rsid w:val="00E51016"/>
    <w:rsid w:val="00E66D5B"/>
    <w:rsid w:val="00E813F4"/>
    <w:rsid w:val="00EA1375"/>
    <w:rsid w:val="00F05052"/>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AA995D"/>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 w:type="paragraph" w:styleId="Odstavekseznama">
    <w:name w:val="List Paragraph"/>
    <w:basedOn w:val="Navaden"/>
    <w:uiPriority w:val="34"/>
    <w:qFormat/>
    <w:rsid w:val="004B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722</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7</cp:revision>
  <cp:lastPrinted>2020-12-30T09:44:00Z</cp:lastPrinted>
  <dcterms:created xsi:type="dcterms:W3CDTF">2021-01-06T10:25:00Z</dcterms:created>
  <dcterms:modified xsi:type="dcterms:W3CDTF">2021-01-06T10:46:00Z</dcterms:modified>
</cp:coreProperties>
</file>